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朱教君院士工作站装修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  <w:r>
        <w:rPr>
          <w:rFonts w:hint="eastAsia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赤峰市林业科学研究所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赤峰市林业和草原局（部门）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朱教君院士工作站装修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2024年申请预算35万元，用于在赤峰市农牧科技产业园林业创新楼内装修办公室130平方米（2间）、实验楼内装修宿舍6间，保障院士团队使用。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2024年申请预算35万元，用于在赤峰市农牧科技产业园林业创新楼内装修办公室130平方米（2间）、实验楼内装修宿舍6间，保障院士团队使用。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2025年我单位利用财政资金对院士工作站进行装修，采购办公桌椅、床位、空调、电视等性能优良的设备，按时交付并投入使用，为科研工作者提供了良好的工作和生活条件，为他们更好地开展科研工作提供保障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通过对办公设备和家具采购流程、设备效能发挥的评估，判断资源投入是否合理高效，是否切实提升办公运转效率和生活条件。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100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采购资金用于装修院士站办公室和宿舍及办公桌椅、床位、空调、电视等设备购置，工程通过验收，所购设备性能良好，较好满足科研工作需求，有效提升了办公效率，实现了资金价值的高效转化。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项目预期目标已完成，我单位在遵守国家、自治区、相关政策与管理办法的同时，按照市财政局统一要求，还制定了单位的《财务管理制度》，制度明确了预算管理、收入管理、支出管理、往来资金结算管理、现金及银行存款管理等制度，建立了专项资金跟踪、调度，督促资金执行进度，加强资金监督管理，确保资金专款专用，并接受有关部门的监督，提高资金使用的安全性、规范性和有效性，充分发挥了资金的支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1）购置办公桌(套)，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2）购置床位(张)，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6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1）购置物品有效利用率(%)，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2）购置物品故障率(%)，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1）购置完成时间，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2025年6-12月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2025年6-12月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2）购置物品及时率(%)，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1）办公室装修费(万元)，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2）宿舍装修费(万元)，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1）不涉及，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（6）生态效益指标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1）楼内空气质量达标情况，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1）购置物品售后保障时间(年)，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2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（8）服务对象满意度指标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1）科研人员满意度(%)，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优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bookmarkStart w:id="0" w:name="_GoBack"/>
      <w:bookmarkEnd w:id="0"/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按照市财政统一管理，继续加强专项资金支持，确保项目顺利实施。切实强资金监督管理，确保资金专款专用，并接受有关部门的监督，提高资金使用的安全性、规范性和有效性，充分发挥了专项资金的支持作用，实现项目高质量进行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232EC6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4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dcterms:modified xsi:type="dcterms:W3CDTF">2026-03-23T07:04:32Z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1E783D06E0A64A039549809408296BD7_13</vt:lpwstr>
  </property>
</Properties>
</file>